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0F6C0">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3CD80DF">
      <w:pPr>
        <w:spacing w:line="540" w:lineRule="exact"/>
        <w:jc w:val="center"/>
        <w:rPr>
          <w:rFonts w:ascii="方正小标宋_GBK" w:hAnsi="华文中宋" w:eastAsia="方正小标宋_GBK" w:cs="宋体"/>
          <w:b/>
          <w:kern w:val="0"/>
          <w:sz w:val="48"/>
          <w:szCs w:val="48"/>
        </w:rPr>
      </w:pPr>
    </w:p>
    <w:p w14:paraId="27220F9D">
      <w:pPr>
        <w:spacing w:line="540" w:lineRule="exact"/>
        <w:jc w:val="center"/>
        <w:rPr>
          <w:rFonts w:ascii="方正小标宋_GBK" w:hAnsi="华文中宋" w:eastAsia="方正小标宋_GBK" w:cs="宋体"/>
          <w:b/>
          <w:kern w:val="0"/>
          <w:sz w:val="48"/>
          <w:szCs w:val="48"/>
        </w:rPr>
      </w:pPr>
    </w:p>
    <w:p w14:paraId="64A8E3FB">
      <w:pPr>
        <w:spacing w:line="540" w:lineRule="exact"/>
        <w:jc w:val="center"/>
        <w:rPr>
          <w:rFonts w:ascii="方正小标宋_GBK" w:hAnsi="华文中宋" w:eastAsia="方正小标宋_GBK" w:cs="宋体"/>
          <w:b/>
          <w:kern w:val="0"/>
          <w:sz w:val="48"/>
          <w:szCs w:val="48"/>
        </w:rPr>
      </w:pPr>
    </w:p>
    <w:p w14:paraId="7E78C3FD">
      <w:pPr>
        <w:spacing w:line="540" w:lineRule="exact"/>
        <w:jc w:val="center"/>
        <w:rPr>
          <w:rFonts w:ascii="方正小标宋_GBK" w:hAnsi="华文中宋" w:eastAsia="方正小标宋_GBK" w:cs="宋体"/>
          <w:b/>
          <w:kern w:val="0"/>
          <w:sz w:val="48"/>
          <w:szCs w:val="48"/>
        </w:rPr>
      </w:pPr>
    </w:p>
    <w:p w14:paraId="1D017174">
      <w:pPr>
        <w:spacing w:line="540" w:lineRule="exact"/>
        <w:jc w:val="center"/>
        <w:rPr>
          <w:rFonts w:ascii="方正小标宋_GBK" w:hAnsi="华文中宋" w:eastAsia="方正小标宋_GBK" w:cs="宋体"/>
          <w:b/>
          <w:kern w:val="0"/>
          <w:sz w:val="48"/>
          <w:szCs w:val="48"/>
        </w:rPr>
      </w:pPr>
    </w:p>
    <w:p w14:paraId="6EF05FDB">
      <w:pPr>
        <w:spacing w:line="540" w:lineRule="exact"/>
        <w:jc w:val="center"/>
        <w:rPr>
          <w:rFonts w:ascii="方正小标宋_GBK" w:hAnsi="华文中宋" w:eastAsia="方正小标宋_GBK" w:cs="宋体"/>
          <w:b/>
          <w:kern w:val="0"/>
          <w:sz w:val="48"/>
          <w:szCs w:val="48"/>
        </w:rPr>
      </w:pPr>
    </w:p>
    <w:p w14:paraId="0750A99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0B6554F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063D1E7">
      <w:pPr>
        <w:spacing w:line="540" w:lineRule="exact"/>
        <w:jc w:val="center"/>
        <w:rPr>
          <w:rFonts w:ascii="华文中宋" w:hAnsi="华文中宋" w:eastAsia="华文中宋" w:cs="宋体"/>
          <w:b/>
          <w:kern w:val="0"/>
          <w:sz w:val="52"/>
          <w:szCs w:val="52"/>
        </w:rPr>
      </w:pPr>
    </w:p>
    <w:p w14:paraId="77B46D9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A0D5A80">
      <w:pPr>
        <w:spacing w:line="700" w:lineRule="exact"/>
        <w:jc w:val="left"/>
        <w:rPr>
          <w:rFonts w:hint="eastAsia" w:hAnsi="宋体" w:eastAsia="仿宋_GB2312" w:cs="宋体"/>
          <w:kern w:val="0"/>
          <w:sz w:val="36"/>
          <w:szCs w:val="36"/>
        </w:rPr>
      </w:pPr>
    </w:p>
    <w:p w14:paraId="63729524">
      <w:pPr>
        <w:spacing w:line="700" w:lineRule="exact"/>
        <w:jc w:val="left"/>
        <w:rPr>
          <w:rFonts w:hint="eastAsia" w:hAnsi="宋体" w:eastAsia="仿宋_GB2312" w:cs="宋体"/>
          <w:kern w:val="0"/>
          <w:sz w:val="36"/>
          <w:szCs w:val="36"/>
        </w:rPr>
      </w:pPr>
    </w:p>
    <w:p w14:paraId="7A19FDEE">
      <w:pPr>
        <w:spacing w:line="700" w:lineRule="exact"/>
        <w:jc w:val="left"/>
        <w:rPr>
          <w:rFonts w:hint="eastAsia" w:hAnsi="宋体" w:eastAsia="仿宋_GB2312" w:cs="宋体"/>
          <w:kern w:val="0"/>
          <w:sz w:val="36"/>
          <w:szCs w:val="36"/>
          <w:lang w:eastAsia="zh-CN"/>
        </w:rPr>
      </w:pPr>
    </w:p>
    <w:p w14:paraId="1899FA92">
      <w:pPr>
        <w:spacing w:line="700" w:lineRule="exact"/>
        <w:jc w:val="left"/>
        <w:rPr>
          <w:rFonts w:hint="eastAsia" w:hAnsi="宋体" w:eastAsia="仿宋_GB2312" w:cs="宋体"/>
          <w:kern w:val="0"/>
          <w:sz w:val="36"/>
          <w:szCs w:val="36"/>
          <w:lang w:eastAsia="zh-CN"/>
        </w:rPr>
      </w:pPr>
    </w:p>
    <w:p w14:paraId="0DD63C57">
      <w:pPr>
        <w:spacing w:line="700" w:lineRule="exact"/>
        <w:jc w:val="left"/>
        <w:rPr>
          <w:rFonts w:hint="eastAsia" w:hAnsi="宋体" w:eastAsia="仿宋_GB2312" w:cs="宋体"/>
          <w:kern w:val="0"/>
          <w:sz w:val="36"/>
          <w:szCs w:val="36"/>
          <w:lang w:eastAsia="zh-CN"/>
        </w:rPr>
      </w:pPr>
    </w:p>
    <w:p w14:paraId="4C5BBDA5">
      <w:pPr>
        <w:spacing w:line="700" w:lineRule="exact"/>
        <w:jc w:val="left"/>
        <w:rPr>
          <w:rFonts w:hint="eastAsia" w:hAnsi="宋体" w:eastAsia="仿宋_GB2312" w:cs="宋体"/>
          <w:kern w:val="0"/>
          <w:sz w:val="36"/>
          <w:szCs w:val="36"/>
          <w:lang w:eastAsia="zh-CN"/>
        </w:rPr>
      </w:pPr>
    </w:p>
    <w:p w14:paraId="3F488FBE">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克州卫健委</w:t>
      </w:r>
    </w:p>
    <w:p w14:paraId="3EBDB290">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2022年04月21日</w:t>
      </w:r>
    </w:p>
    <w:p w14:paraId="5B2CB696">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F74FAD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53111A7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tab/>
      </w:r>
      <w:r>
        <w:rPr>
          <w:rFonts w:hint="eastAsia" w:ascii="仿宋_GB2312" w:hAnsi="宋体" w:eastAsia="仿宋_GB2312"/>
          <w:b w:val="0"/>
          <w:bCs/>
          <w:sz w:val="32"/>
          <w:szCs w:val="32"/>
        </w:rPr>
        <w:t>组织拟订国民健康政策，拟订卫生健康事业发展法规草案、政策、规划、规章和标准并组织实施。统筹规划卫生健康资源配置，指导县域卫生健康规划的编制和实施。制定并组织实施推进卫生健康基本公共服务均等化、普惠化、便捷化和公共资源向基层延伸等政策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制定并组织落实疾病预防控制规划、免疫规划及严重危害人民健康的公共卫生问题的干预措施。执行国家、自治区检疫传染病和监测传染病目录。负责卫生应急工作，组织指导突发公共卫生事件的预防控制和各类突发公共事件的医疗卫生救援处置。</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组织拟订并协调落实应对人口老龄化政策措施，负责推进老年健康服务体系建设和医养结合工作。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国家药物政策和国家、自治区基本药物制度，开展药品使用监测、临床综合评价和短缺药品预警。执行国家药品法典，提出自治州基本药物价格政策的建议。组织开展食品安全风险监督评估，依法贯彻执行和公布国家、自治区食品安全标准，并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负责职责范围内的职业卫生、放射卫生、环境卫生、学校卫生、公共场所卫生、饮用水卫生等公共卫生的监督管理，负责传染病防治监督，健全卫生健康综合监督体系。牵头《烟草控制框架公约》履约有关工作。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制定医疗机构、医疗服务行业管理办法并监督实施，建立医疗服务评价和监督管理体系。会同有关部门制定并实施卫生健康专业技术人员资格标准。制定并组织实施医疗服务规范、标准和卫生健康专业技术人员执业规则、服务规范。</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开展人口监测预警，研究提出人口与家庭发展相关政策建议。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指导县市卫生健康工作，指导基层医疗卫生、妇幼健康服务体系和全科医生队伍建设；推进卫生健康科技创新发展。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负责自治州保健对象的医疗保健工作，负责自治州重要会议与重大活动的医疗卫生保障工作。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贯彻执行国家、自治区关于中医药工作的方针政策和法律法规，起草有关地方性法规草案、规章，组织实施并监督检查。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承担自治州老龄委员会的日常工作；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卫生健康委员会部门本级下设9个科室，分别是：办公室、医政医管与药政科、基层卫生科、疾病防控与卫生应急科、妇幼卫生科、柯尔克孜医医学中心、医疗卫生服务管理指导中心、卫生健康宣传保健中心、卫生应急保障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克孜勒苏柯尔克孜自治州卫生健康委员会单位编制数38，实有人数49人，其中：在职29人，退休20人。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(1)全力以赴推进疫情防控工作常态化。州卫健委作为疫情防控的主要牵头单位之一，时刻把疫情防控当做头等大事来抓，集全系统之力，推动州委“外防输入，内防反弹”工作要求和措施的全力落实。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（2）不断提升公共卫生服务能力。一是做好全民健康体检工作，打造医疗惠民品牌。2021全州目标体检人数530085人，</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体检完成率100%。 二是基层服务能力得到提升。围绕医疗服务、特色专科建设等重点领域，加强基层医疗机构能力建设，开展“优质服务基层行”活动。下发社区医院建设标准，全州2家基层医疗卫生机构拟获评社区医院称号。三是实施基层卫生人才能力提升培训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3）加强疾病防控工作。抓好结核病防治工作。进一步完善以政府为主导、多部门合作、全社会共同参与的结核病防治工作机制，做到应查尽查、应治尽治；不断提升定点医院、集中隔离治疗点结核病患者的规范治疗和管理水平，提高患者成功治疗率。</w:t>
      </w:r>
      <w:r>
        <w:rPr>
          <w:rFonts w:hint="eastAsia" w:ascii="仿宋_GB2312" w:hAnsi="宋体" w:eastAsia="仿宋_GB2312"/>
          <w:b w:val="0"/>
          <w:bCs/>
          <w:sz w:val="32"/>
          <w:szCs w:val="32"/>
        </w:rPr>
        <w:cr/>
      </w:r>
      <w:r>
        <w:rPr>
          <w:rFonts w:hint="eastAsia" w:ascii="仿宋_GB2312" w:hAnsi="宋体" w:eastAsia="仿宋_GB2312"/>
          <w:b w:val="0"/>
          <w:bCs/>
          <w:sz w:val="32"/>
          <w:szCs w:val="32"/>
        </w:rPr>
        <w:t>　　（4）推进医药卫生体制改革。积极推进医联体、医共体建设，推动优质医疗卫生资源下沉基层，继续推进分级诊疗制度建设。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卫生健康委员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卫生健康委员会集体决策制度》和《克孜勒苏柯尔克孜自治州卫生健康委员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卫生健康委员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卫生健康委员会合同管理办法》相关规定，克孜勒苏柯尔克孜自治州卫生健康委员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562.83 万元，项目支出安排资金316.47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本单位2021年度项目支出316.47万元，涉及项目数量12个，其中：重点项目支出41.39万元，涉及重点项目数量1个，重点项目支出与部门项目总支出（除去73类资金的240.58万元）的比率为54.54%。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2021年度本单位年初批复部门预算资金总额为374.24万元，年中调增预算总额为505.06万元，调整后全年预算资金总额为879.30万元。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2021年度本单位部门整体支出资金总额为879.30万元，预算执行率为100%，预算调整率为</w:t>
      </w:r>
      <w:r>
        <w:rPr>
          <w:rFonts w:hint="eastAsia" w:ascii="仿宋_GB2312" w:hAnsi="宋体" w:eastAsia="仿宋_GB2312"/>
          <w:b w:val="0"/>
          <w:bCs/>
          <w:sz w:val="32"/>
          <w:szCs w:val="32"/>
          <w:lang w:val="en-US" w:eastAsia="zh-CN"/>
        </w:rPr>
        <w:t>134.96</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年初政府采购预算数为135万元，实际政府采购数为0万元，政府采购执行率为0%。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7B3D99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7313DA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卫生健康委员会内部控制规范》《克孜勒苏柯尔克孜自治州卫生健康委员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2021年度我单位基本支出预算总额为562.83万元，其中人员经费531.62万元，公用经费31.21万元。实际执行总额为562.83万元，预算执行率100%。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3.15万元，比上年减少0.23万元，减少6.82%，主要原因是：按照厉行节约的要求，2021年缩减公务车运行维护费，因此支出随之减少。其中，因公出国（境）费支出0万元；公务用车购置及运行维护费支出2.15万元；公务接待费支出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与年初预算数相比情况：一般公共预算“三公”经费支出年初预算数4万元，预算执行数为3.15万元，执行率为78.75%，主要原因是：按照厉行节约的要求，2021年缩减公务车运行维护费，因此支出随之减少。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2021年度本单位项目支出预算总额为408.84万元，实际执行资金总额为316.47万元，预算执行率为77.41%。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2021年度预算安排专项资金332.95万元，实际支出资金240.58万元，预算执行率为72.23%，涉及项目个数6个。专项经费按照政策要求实行专款专用，不存在截留、挤占、挪用、虚列支出。各项目详细执行情况如下：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2021年中央重大传染病防控经费项目:全年预算数为89万元，预算执行数为83.33万元，预算执行率为93.63%。</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2021年自治区公共卫生服务（地方公共卫生）补助项目:全年预算数为20万元，预算执行数为0万元，预算执行率为0%。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为民办实事经费及第一书记工作经费项目:全年预算数为12万元，预算执行数为10.39万元，预算执行率为86.58%。</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2020年中央财政重大传染病防控补助经费项目:全年预算数为82.63万元，预算执行数为82.63万元，预算执行率为100%。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2020年中央及自治区基本公共卫生服务补助资金项目:全年预算数为44.32万元，预算执行数为44.32万元，预算执行率为100%。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2021年中央基本公共卫生服务补助资金项目:全年预算数为85万元，预算执行数为19.91万元，预算执行率为23.42%。</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2021年度预算安排本级财力资金75.89万元，实际支出资金75.89万元，预算执行率为100%，涉及项目个数4个，各项目详细执行情况如下：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老龄卫生健康事务项目:全年预算数为10万元，预算执行数为10万元，预算执行率为100%。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卫生专业技术资格考试项目:全年预算数为41.39万元，预算执行数为41.39万元，预算执行率为100%。</w:t>
      </w:r>
    </w:p>
    <w:p w14:paraId="46BF7EF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588FE7F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2021年中央重大传染病防控经费项目:依据《关于拨付2021年中央重大传染病防控补助资金（第二批）的通知》（克财社[2021]48号）文件。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2021年自治区公共卫生服务（地方公共卫生）补助项目:依据《关于拨付2021年自治区公共卫生服务（地方公共卫生）补助资金的通知》（克财社[2021]10号）文件。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2020年中央财政重大传染病防控补助经费项目:依据《关于拨付2020年中央财政重大传染病防控补助资金（第二批）的通知》(克财社[2020]84号)文件。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关于2020年全民健康体检自治区财政补助资金纳入直达资金管理的通知》（克财社[2020]62号）和关于拨付2020年中央及自治区基本公共卫生服务补助资金预算的通知》（克财社[2020]16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2021年中央基本公共卫生服务补助资金项目:《关于拨付2021年中央基本公共卫生服务补助资金（第二批）的通知》（克财社[2021]30号）。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项专项，总投入共计332.95万元，资金全部到位，实际使用资金240.58万元，专项资金执行率为72.26%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①制订《克孜勒苏柯尔克孜自治州卫生健康委员经费使用规范》,为合理合规使用经费提供了有力的制度保障。同时,建立区委组织部项目经费内部管控制度，并严格按要求落实。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成本节约：我单位4个项目成本均未超预算，预算执行率达100%。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2021年中央重大传染病防控经费项目:主要用于以乡(镇)为单位适龄儿童免疫规划疫曲接种有率达标，全州继续保持无脊髓灰质炎状。</w:t>
      </w:r>
      <w:r>
        <w:rPr>
          <w:rFonts w:hint="eastAsia" w:ascii="仿宋_GB2312" w:hAnsi="宋体" w:eastAsia="仿宋_GB2312"/>
          <w:b w:val="0"/>
          <w:bCs/>
          <w:sz w:val="32"/>
          <w:szCs w:val="32"/>
          <w:lang w:eastAsia="zh-CN"/>
        </w:rPr>
        <w:t>进一步</w:t>
      </w:r>
      <w:r>
        <w:rPr>
          <w:rFonts w:hint="eastAsia" w:ascii="仿宋_GB2312" w:hAnsi="宋体" w:eastAsia="仿宋_GB2312"/>
          <w:b w:val="0"/>
          <w:bCs/>
          <w:sz w:val="32"/>
          <w:szCs w:val="32"/>
        </w:rPr>
        <w:t>控制和降低全区疫苗针对传染病的发病。开展人群查病及犬驱虫管理等,努力做好包虫病防治工作。围绕全州艾滋病防治综合措施的实施与关键指标的落实，扩大HIV检测，保持疫情稳定。开展重大慢性病早期筛查干预项目，落实慢性病及其相关危险因素监测。提升结核病防治工作质量，聚焦精准诊断、精准报告、全程规范诊疗、提高治愈率。有利于不断提升定点医院、集中隔离治疗点结核病患者的规范治疗和管理水平，提高患者成功治疗率，全年无重大传染病爆发流行，乙肝、脊灰等9种常规疫苗累计报告接种率均达到了98%以上。</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2021年自治区公共卫生服务（地方公共卫生）补助项目:主要用于绩效奖励资金和全民健康体检数据分析报告等费用，有利于提高居民健康保健意识、知晓率和居民健康水平。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开展群众工作，有利于加强民族团结，增进民族互信，突出现代文化引领，落实民生建设任务，增加农牧民收入，关心关爱贫困户，低保户，特困群体等特殊家庭，帮助解决生产生活中的实际困难，开展精准扶贫、凝聚人心，建立自生动力的传帮带工作，提升该村基层组织工作能力，改善村委会办公基础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2020年中央财政重大传染病防控补助经费项目:主要用于以乡(镇)为单位适龄儿童免疫规划疫曲接种有率达标，全州继续保持无脊髓灰质炎状。</w:t>
      </w:r>
      <w:r>
        <w:rPr>
          <w:rFonts w:hint="eastAsia" w:ascii="仿宋_GB2312" w:hAnsi="宋体" w:eastAsia="仿宋_GB2312"/>
          <w:b w:val="0"/>
          <w:bCs/>
          <w:sz w:val="32"/>
          <w:szCs w:val="32"/>
          <w:lang w:eastAsia="zh-CN"/>
        </w:rPr>
        <w:t>进一步</w:t>
      </w:r>
      <w:r>
        <w:rPr>
          <w:rFonts w:hint="eastAsia" w:ascii="仿宋_GB2312" w:hAnsi="宋体" w:eastAsia="仿宋_GB2312"/>
          <w:b w:val="0"/>
          <w:bCs/>
          <w:sz w:val="32"/>
          <w:szCs w:val="32"/>
        </w:rPr>
        <w:t>控制和降低全区疫苗针对传染病的发病。开展人群查病及犬驱虫管理等,努力做好包虫病防治工作。围绕全州艾滋病防治综合措施的实施与关键指标的落实，扩大HIV检测，保持疫情稳定。开展重大慢性病早期筛查干预项目，落实慢性病及其相关危险因素监测。提升结核病防治工作质量，聚焦精准诊断、精准报告、全程规范诊疗、提高治愈率。有利于不断提升定点医院、集中隔离治疗点结核病患者的规范治疗和管理水平，提高患者成功治疗率，全年无重大传染病爆发流行，乙肝、脊灰等9种常规疫苗累计报告接种率均达到了98%以上。</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主要用于开展健康教育、预防接种、健康管理等原12类国家基本公共卫生服务，有利于完成农村计划怀孕优生科学知识普及，免费向城乡居民提供基本公共卫生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项目:主要用于基层卫生人才能力提升培训。加强基本公共卫生服务项目管理，开展高血压和糖尿病综合防治行动计划，有利于高血压、糖尿病患者综合提供“筛查、体检、巡诊、健教、治疗”五方面15项防治措施，推进全州电子健康档案信息系统互联互通。</w:t>
      </w:r>
    </w:p>
    <w:p w14:paraId="3AF5604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5DF807C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本单位2021年初资产合计数为1347.86万元，年末资产合计数为607.89万元。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截止本年度固定资产账面净值105.59万元，年末实际在用固定资产105.59万元，固定资产利用率为100%。</w:t>
      </w:r>
    </w:p>
    <w:p w14:paraId="357DA8E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372BE6E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部门单位整体支出共设置一级指标3个，二级指标7个，三级指标19个，其中已完成三级指标18个，指标完成率为94.74%。</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“老年大学学员数量”指标：预期指标值为≥200人次，实际完成指标值为200人次，指标完成率为100%。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“开展职业性尘肺病随访调查人数”指标：预期指标值为≥500人，实际完成指标值为500人，指标完成率为100%。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“全民健康体检人数”指标：预期指标值为≥530000人，实际完成指标值为530085人，指标完成率为100%。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“开展敬老、爱老政策法规宣传次数”指标：预期指标值为≥150次，实际完成指标值为161次，指标完成率为107.33%。</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“国家双随机卫生监督抽检数量”指标：预期指标值为≥12家，实际完成指标值为12家，指标完成率为100%。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“开展敬老、爱老政策法规宣传人次”指标：预期指标值为≥6000人次，实际完成指标值为6323人次，指标完成率为105.38%。</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“为民办好事实事数量”指标：预期指标值为&gt;=10件，实际完成指标值为10件，指标完成率为100%。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参加卫生专业技术资格考试人数”指标：预期指标值为&gt;=3050人，实际完成指标值为2835人，指标完成率为92.95%。偏差原因：因个人原因，部分参加考试的人员未参加考试；改进措施：鼓励报名考试人员积极参加考试。</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“保障单位在职人员人数”指标：预期指标值为=53人，实际完成指标值为53人，指标完成率为100%。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“保障单位公务用车数量”指标：预期指标值为=4辆，实际完成指标值为4辆，指标完成率为100%。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“全民健康体检覆盖率”指标：预期指标值为&gt;=95%，实际完成指标值为100%，指标完成率为100%。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“常规疫苗累计报告接种率”指标：预期指标值为&gt;=95%，实际完成指标值为100%，指标完成率为100%。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“家庭医生入户走访及时率”指标：预期指标值为=100%，实际完成指标值为100%，指标完成率为100%。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“人员经费”指标：预期指标值为=275.82万元，实际完成指标值为275.82万元，指标完成率为100%。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“公用经费”指标：预期指标值为=30.42万元，实际完成指标值为30.42万元，指标完成率为100%。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“项目支出”指标：预期指标值为=68万元，实际完成指标值为68万元，指标完成率为100%。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“肺结核患者成功治疗率”指标：预期指标值为&gt;=90%，实际完成指标值为93.38%，指标完成率为103.76%。</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“结合婚检、全民健康体检，常态化开展艾滋病宣传教育和筛查工作”指标：预期指标值为长期，实际完成指标值为长期，指标完成率为100%。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“全民健康体检人员满意度”指标：预期指标值为&gt;=95%，实际完成指标值为95%，指标完成率为100%。</w:t>
      </w:r>
    </w:p>
    <w:p w14:paraId="21ADA31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0722928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66DC89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51FDAE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160670A"/>
    <w:rsid w:val="1438599A"/>
    <w:rsid w:val="200F4073"/>
    <w:rsid w:val="23372C6F"/>
    <w:rsid w:val="24B86128"/>
    <w:rsid w:val="29F73286"/>
    <w:rsid w:val="51C70EA9"/>
    <w:rsid w:val="54F842B6"/>
    <w:rsid w:val="566C27D5"/>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11944</Words>
  <Characters>12645</Characters>
  <Lines>2</Lines>
  <Paragraphs>1</Paragraphs>
  <TotalTime>0</TotalTime>
  <ScaleCrop>false</ScaleCrop>
  <LinksUpToDate>false</LinksUpToDate>
  <CharactersWithSpaces>12999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2025-07-31T03:27:52Z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